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B31015" w14:textId="457BC56C" w:rsidR="00BD3DD1" w:rsidRPr="00BD3DD1" w:rsidRDefault="00BD3DD1" w:rsidP="00BD3DD1">
      <w:pPr>
        <w:rPr>
          <w:b/>
          <w:bCs/>
          <w:sz w:val="24"/>
          <w:szCs w:val="24"/>
          <w:lang w:val="de-DE"/>
        </w:rPr>
      </w:pPr>
      <w:r w:rsidRPr="00BD3DD1">
        <w:rPr>
          <w:b/>
          <w:bCs/>
          <w:sz w:val="24"/>
          <w:szCs w:val="24"/>
          <w:lang w:val="de-DE"/>
        </w:rPr>
        <w:t>Lektüretipp von Hans-Ruedi Schärer</w:t>
      </w:r>
    </w:p>
    <w:p w14:paraId="6A3CFCC5" w14:textId="11966BD2" w:rsidR="00BD3DD1" w:rsidRPr="00BD3DD1" w:rsidRDefault="00BD3DD1" w:rsidP="00BD3DD1">
      <w:pPr>
        <w:rPr>
          <w:b/>
          <w:bCs/>
          <w:sz w:val="48"/>
          <w:szCs w:val="48"/>
          <w:lang w:val="de-DE"/>
        </w:rPr>
      </w:pPr>
      <w:r w:rsidRPr="00BD3DD1">
        <w:rPr>
          <w:b/>
          <w:bCs/>
          <w:sz w:val="48"/>
          <w:szCs w:val="48"/>
          <w:lang w:val="de-DE"/>
        </w:rPr>
        <w:t>Altern ist unerbittlich. Aber es gibt ein Mittel, um es erträglicher zu machen</w:t>
      </w:r>
    </w:p>
    <w:p w14:paraId="394092AB" w14:textId="77777777" w:rsidR="00BD3DD1" w:rsidRPr="00090261" w:rsidRDefault="00BD3DD1" w:rsidP="00BD3DD1">
      <w:pPr>
        <w:rPr>
          <w:lang w:val="de-DE"/>
        </w:rPr>
      </w:pPr>
      <w:r w:rsidRPr="00090261">
        <w:rPr>
          <w:lang w:val="de-DE"/>
        </w:rPr>
        <w:t xml:space="preserve">Im Jahr 2024 hat das Buch des Soziologen Andreas Reckwitz mit dem Titel „Verlust – ein Grundproblem der Moderne“ </w:t>
      </w:r>
      <w:r>
        <w:rPr>
          <w:lang w:val="de-DE"/>
        </w:rPr>
        <w:t>Aufsehen erregt</w:t>
      </w:r>
      <w:r w:rsidRPr="00090261">
        <w:rPr>
          <w:lang w:val="de-DE"/>
        </w:rPr>
        <w:t>. Aber auch auf literarischem Gebiet ist das Thema „in“. So sind im laufenden Jahr gleich drei bedeutsame literarische Werke erschienen, die auf je eigene Weise das Altern und die Verluste, die es mit sich bringt, thematisieren:</w:t>
      </w:r>
    </w:p>
    <w:p w14:paraId="7D4772CC" w14:textId="77777777" w:rsidR="00BD3DD1" w:rsidRPr="00090261" w:rsidRDefault="00BD3DD1" w:rsidP="00BD3DD1">
      <w:pPr>
        <w:numPr>
          <w:ilvl w:val="0"/>
          <w:numId w:val="1"/>
        </w:numPr>
        <w:rPr>
          <w:lang w:val="de-DE"/>
        </w:rPr>
      </w:pPr>
      <w:r w:rsidRPr="00090261">
        <w:rPr>
          <w:lang w:val="de-DE"/>
        </w:rPr>
        <w:t>Gabriele von Arnim: „Abschied leben. Tagebuch eines Zeitgefühls“</w:t>
      </w:r>
    </w:p>
    <w:p w14:paraId="390C03A8" w14:textId="77777777" w:rsidR="00BD3DD1" w:rsidRPr="00090261" w:rsidRDefault="00BD3DD1" w:rsidP="00BD3DD1">
      <w:pPr>
        <w:numPr>
          <w:ilvl w:val="0"/>
          <w:numId w:val="1"/>
        </w:numPr>
        <w:rPr>
          <w:lang w:val="de-DE"/>
        </w:rPr>
      </w:pPr>
      <w:r w:rsidRPr="00090261">
        <w:rPr>
          <w:lang w:val="de-DE"/>
        </w:rPr>
        <w:t>Julian Barnes: „Abschied(e)“</w:t>
      </w:r>
    </w:p>
    <w:p w14:paraId="1CF50E23" w14:textId="77777777" w:rsidR="00BD3DD1" w:rsidRPr="00090261" w:rsidRDefault="00BD3DD1" w:rsidP="00BD3DD1">
      <w:pPr>
        <w:numPr>
          <w:ilvl w:val="0"/>
          <w:numId w:val="1"/>
        </w:numPr>
        <w:rPr>
          <w:lang w:val="de-DE"/>
        </w:rPr>
      </w:pPr>
      <w:r w:rsidRPr="00090261">
        <w:rPr>
          <w:lang w:val="de-DE"/>
        </w:rPr>
        <w:t>Hans-Ulrich Treichel: „Das Karussell“</w:t>
      </w:r>
    </w:p>
    <w:p w14:paraId="002C20D9" w14:textId="77777777" w:rsidR="00BD3DD1" w:rsidRPr="00090261" w:rsidRDefault="00BD3DD1" w:rsidP="00BD3DD1">
      <w:pPr>
        <w:rPr>
          <w:lang w:val="de-DE"/>
        </w:rPr>
      </w:pPr>
      <w:r w:rsidRPr="00090261">
        <w:rPr>
          <w:lang w:val="de-DE"/>
        </w:rPr>
        <w:t xml:space="preserve">Hält die 78-jährige Gabriele von Arnim zwischen November 2024 und November 2025 in zahlreichen Notaten fest, was die Welt und sie aktuell bewegt und wovon sie persönlich in Anbetracht ihres fortgeschrittenen Alters Abschied nehmen muss, führt der </w:t>
      </w:r>
      <w:r>
        <w:rPr>
          <w:lang w:val="de-DE"/>
        </w:rPr>
        <w:t xml:space="preserve">ebenfalls 78-jährige </w:t>
      </w:r>
      <w:r w:rsidRPr="00090261">
        <w:rPr>
          <w:lang w:val="de-DE"/>
        </w:rPr>
        <w:t xml:space="preserve"> Julian Barnes ein „letztes Gespräch“ mit seinem Lesepublikum</w:t>
      </w:r>
      <w:r>
        <w:rPr>
          <w:lang w:val="de-DE"/>
        </w:rPr>
        <w:t>: V</w:t>
      </w:r>
      <w:r w:rsidRPr="00090261">
        <w:rPr>
          <w:lang w:val="de-DE"/>
        </w:rPr>
        <w:t xml:space="preserve">ersehen mit einer Krebsdiagnose, </w:t>
      </w:r>
      <w:r>
        <w:rPr>
          <w:lang w:val="de-DE"/>
        </w:rPr>
        <w:t xml:space="preserve">führt er </w:t>
      </w:r>
      <w:r w:rsidRPr="00090261">
        <w:rPr>
          <w:lang w:val="de-DE"/>
        </w:rPr>
        <w:t xml:space="preserve">collageartig Kunst, Krankheit, Tod und Nachleben zusammen und </w:t>
      </w:r>
      <w:r>
        <w:rPr>
          <w:lang w:val="de-DE"/>
        </w:rPr>
        <w:t xml:space="preserve">erzählt </w:t>
      </w:r>
      <w:r w:rsidRPr="00090261">
        <w:rPr>
          <w:lang w:val="de-DE"/>
        </w:rPr>
        <w:t xml:space="preserve">den Anfang und </w:t>
      </w:r>
      <w:r>
        <w:rPr>
          <w:lang w:val="de-DE"/>
        </w:rPr>
        <w:t>das</w:t>
      </w:r>
      <w:r w:rsidRPr="00090261">
        <w:rPr>
          <w:lang w:val="de-DE"/>
        </w:rPr>
        <w:t xml:space="preserve"> </w:t>
      </w:r>
      <w:proofErr w:type="spellStart"/>
      <w:r w:rsidRPr="00090261">
        <w:rPr>
          <w:lang w:val="de-DE"/>
        </w:rPr>
        <w:t>mutmassliche</w:t>
      </w:r>
      <w:proofErr w:type="spellEnd"/>
      <w:r w:rsidRPr="00090261">
        <w:rPr>
          <w:lang w:val="de-DE"/>
        </w:rPr>
        <w:t xml:space="preserve"> </w:t>
      </w:r>
      <w:r>
        <w:rPr>
          <w:lang w:val="de-DE"/>
        </w:rPr>
        <w:t>Ende</w:t>
      </w:r>
      <w:r w:rsidRPr="00090261">
        <w:rPr>
          <w:lang w:val="de-DE"/>
        </w:rPr>
        <w:t xml:space="preserve"> seines Schriftstellerlebens. Der 71-jährige Hans-Ulrich Treichel </w:t>
      </w:r>
      <w:proofErr w:type="spellStart"/>
      <w:r w:rsidRPr="00090261">
        <w:rPr>
          <w:lang w:val="de-DE"/>
        </w:rPr>
        <w:t>schliesslich</w:t>
      </w:r>
      <w:proofErr w:type="spellEnd"/>
      <w:r w:rsidRPr="00090261">
        <w:rPr>
          <w:lang w:val="de-DE"/>
        </w:rPr>
        <w:t xml:space="preserve"> lässt eine </w:t>
      </w:r>
      <w:proofErr w:type="spellStart"/>
      <w:r w:rsidRPr="00090261">
        <w:rPr>
          <w:lang w:val="de-DE"/>
        </w:rPr>
        <w:t>äusserlich</w:t>
      </w:r>
      <w:proofErr w:type="spellEnd"/>
      <w:r w:rsidRPr="00090261">
        <w:rPr>
          <w:lang w:val="de-DE"/>
        </w:rPr>
        <w:t xml:space="preserve"> ungelebte Liebesgeschichte aus der Jugend seines Protagonisten und Alter-Egos Bernhard wieder aufleben, indem er ihn im Alter an den seinerzeitigen Handlungsort </w:t>
      </w:r>
      <w:r>
        <w:rPr>
          <w:lang w:val="de-DE"/>
        </w:rPr>
        <w:t>zurückkehren lässt</w:t>
      </w:r>
      <w:r w:rsidRPr="00090261">
        <w:rPr>
          <w:lang w:val="de-DE"/>
        </w:rPr>
        <w:t xml:space="preserve"> – Wiedersehensgeschichte und Abschiedsgeschichte zugleich.</w:t>
      </w:r>
    </w:p>
    <w:p w14:paraId="37F4C6ED" w14:textId="77777777" w:rsidR="00BD3DD1" w:rsidRPr="00090261" w:rsidRDefault="00BD3DD1" w:rsidP="00BD3DD1">
      <w:pPr>
        <w:rPr>
          <w:lang w:val="de-DE"/>
        </w:rPr>
      </w:pPr>
      <w:r w:rsidRPr="00090261">
        <w:rPr>
          <w:lang w:val="de-DE"/>
        </w:rPr>
        <w:t xml:space="preserve">Was die drei Werke verbindet, ist die Schonungslosigkeit, mit der sie den Blick auf das Altern richten; aber sie </w:t>
      </w:r>
      <w:r>
        <w:rPr>
          <w:lang w:val="de-DE"/>
        </w:rPr>
        <w:t>zeigen auch, wie</w:t>
      </w:r>
      <w:r w:rsidRPr="00090261">
        <w:rPr>
          <w:lang w:val="de-DE"/>
        </w:rPr>
        <w:t xml:space="preserve"> das Sich-Erinnern das Altern bereichert. Und vor allem wird deutlich, wie sehr das Schreiben ihrer Erinnerungsbücher – sei es autobiografisch (von Arnim) oder autofiktional (Barnes, Treichel) – der Autorin und den Autoren </w:t>
      </w:r>
      <w:r>
        <w:rPr>
          <w:lang w:val="de-DE"/>
        </w:rPr>
        <w:t xml:space="preserve">dabei </w:t>
      </w:r>
      <w:r w:rsidRPr="00090261">
        <w:rPr>
          <w:lang w:val="de-DE"/>
        </w:rPr>
        <w:t>hilft, das Altern erträglicher zu machen – ein Effekt, der sich auch beim Schreiben von Texten ergibt, die keinen anderen Adressaten haben als einen selbst. Die mit dem Altern notwendigerweise verbundenen Verluste erhalten im Schreibprozess</w:t>
      </w:r>
      <w:r>
        <w:rPr>
          <w:lang w:val="de-DE"/>
        </w:rPr>
        <w:t>, auch wenn er privat ist,</w:t>
      </w:r>
      <w:r w:rsidRPr="00090261">
        <w:rPr>
          <w:lang w:val="de-DE"/>
        </w:rPr>
        <w:t xml:space="preserve"> eine sprachliche Form, werden</w:t>
      </w:r>
      <w:r>
        <w:rPr>
          <w:lang w:val="de-DE"/>
        </w:rPr>
        <w:t xml:space="preserve"> objektiviert und</w:t>
      </w:r>
      <w:r w:rsidRPr="00090261">
        <w:rPr>
          <w:lang w:val="de-DE"/>
        </w:rPr>
        <w:t xml:space="preserve"> dadurch „bearbeitbar“, relativieren sich gegenseitig und setzen im besten Fall</w:t>
      </w:r>
      <w:r>
        <w:rPr>
          <w:lang w:val="de-DE"/>
        </w:rPr>
        <w:t xml:space="preserve"> das</w:t>
      </w:r>
      <w:r w:rsidRPr="00090261">
        <w:rPr>
          <w:lang w:val="de-DE"/>
        </w:rPr>
        <w:t>, was verlorengegangen ist und</w:t>
      </w:r>
      <w:r>
        <w:rPr>
          <w:lang w:val="de-DE"/>
        </w:rPr>
        <w:t xml:space="preserve"> was</w:t>
      </w:r>
      <w:r w:rsidRPr="00090261">
        <w:rPr>
          <w:lang w:val="de-DE"/>
        </w:rPr>
        <w:t xml:space="preserve"> verloren geht, in eine ausgleichende Beziehung zu den Gewinnen, die das Leben einem gebracht hat, zu dem, was einem im Leben gelungen ist. Thomas Mann bezeichnete diesen Effekt in seinen ursprünglich strikt privat geführten Tagebüchern mit den drei Begriffen: Rechenschaft, Rekapitulation, </w:t>
      </w:r>
      <w:proofErr w:type="spellStart"/>
      <w:r w:rsidRPr="00090261">
        <w:rPr>
          <w:lang w:val="de-DE"/>
        </w:rPr>
        <w:t>Bewussthaltung</w:t>
      </w:r>
      <w:proofErr w:type="spellEnd"/>
      <w:r w:rsidRPr="00090261">
        <w:rPr>
          <w:lang w:val="de-DE"/>
        </w:rPr>
        <w:t>.</w:t>
      </w:r>
    </w:p>
    <w:sectPr w:rsidR="00BD3DD1" w:rsidRPr="0009026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75845"/>
    <w:multiLevelType w:val="hybridMultilevel"/>
    <w:tmpl w:val="14CA1150"/>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1" w15:restartNumberingAfterBreak="0">
    <w:nsid w:val="25AF6884"/>
    <w:multiLevelType w:val="multilevel"/>
    <w:tmpl w:val="9C2A75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798137929">
    <w:abstractNumId w:val="0"/>
  </w:num>
  <w:num w:numId="2" w16cid:durableId="18143715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261"/>
    <w:rsid w:val="00090261"/>
    <w:rsid w:val="001244E2"/>
    <w:rsid w:val="00280E64"/>
    <w:rsid w:val="00481CFD"/>
    <w:rsid w:val="00917039"/>
    <w:rsid w:val="00AB1F45"/>
    <w:rsid w:val="00B864D6"/>
    <w:rsid w:val="00BD3DD1"/>
    <w:rsid w:val="00CD2521"/>
    <w:rsid w:val="00DA3C13"/>
    <w:rsid w:val="00E051A6"/>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C3A5F"/>
  <w15:chartTrackingRefBased/>
  <w15:docId w15:val="{D750F074-9194-4C51-BB35-2C7E4A19C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0902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0902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090261"/>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090261"/>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090261"/>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090261"/>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090261"/>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090261"/>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090261"/>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90261"/>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090261"/>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090261"/>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090261"/>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090261"/>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090261"/>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090261"/>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090261"/>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090261"/>
    <w:rPr>
      <w:rFonts w:eastAsiaTheme="majorEastAsia" w:cstheme="majorBidi"/>
      <w:color w:val="272727" w:themeColor="text1" w:themeTint="D8"/>
    </w:rPr>
  </w:style>
  <w:style w:type="paragraph" w:styleId="Titel">
    <w:name w:val="Title"/>
    <w:basedOn w:val="Standard"/>
    <w:next w:val="Standard"/>
    <w:link w:val="TitelZchn"/>
    <w:uiPriority w:val="10"/>
    <w:qFormat/>
    <w:rsid w:val="000902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090261"/>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090261"/>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090261"/>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090261"/>
    <w:pPr>
      <w:spacing w:before="160"/>
      <w:jc w:val="center"/>
    </w:pPr>
    <w:rPr>
      <w:i/>
      <w:iCs/>
      <w:color w:val="404040" w:themeColor="text1" w:themeTint="BF"/>
    </w:rPr>
  </w:style>
  <w:style w:type="character" w:customStyle="1" w:styleId="ZitatZchn">
    <w:name w:val="Zitat Zchn"/>
    <w:basedOn w:val="Absatz-Standardschriftart"/>
    <w:link w:val="Zitat"/>
    <w:uiPriority w:val="29"/>
    <w:rsid w:val="00090261"/>
    <w:rPr>
      <w:i/>
      <w:iCs/>
      <w:color w:val="404040" w:themeColor="text1" w:themeTint="BF"/>
    </w:rPr>
  </w:style>
  <w:style w:type="paragraph" w:styleId="Listenabsatz">
    <w:name w:val="List Paragraph"/>
    <w:basedOn w:val="Standard"/>
    <w:uiPriority w:val="34"/>
    <w:qFormat/>
    <w:rsid w:val="00090261"/>
    <w:pPr>
      <w:ind w:left="720"/>
      <w:contextualSpacing/>
    </w:pPr>
  </w:style>
  <w:style w:type="character" w:styleId="IntensiveHervorhebung">
    <w:name w:val="Intense Emphasis"/>
    <w:basedOn w:val="Absatz-Standardschriftart"/>
    <w:uiPriority w:val="21"/>
    <w:qFormat/>
    <w:rsid w:val="00090261"/>
    <w:rPr>
      <w:i/>
      <w:iCs/>
      <w:color w:val="0F4761" w:themeColor="accent1" w:themeShade="BF"/>
    </w:rPr>
  </w:style>
  <w:style w:type="paragraph" w:styleId="IntensivesZitat">
    <w:name w:val="Intense Quote"/>
    <w:basedOn w:val="Standard"/>
    <w:next w:val="Standard"/>
    <w:link w:val="IntensivesZitatZchn"/>
    <w:uiPriority w:val="30"/>
    <w:qFormat/>
    <w:rsid w:val="000902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090261"/>
    <w:rPr>
      <w:i/>
      <w:iCs/>
      <w:color w:val="0F4761" w:themeColor="accent1" w:themeShade="BF"/>
    </w:rPr>
  </w:style>
  <w:style w:type="character" w:styleId="IntensiverVerweis">
    <w:name w:val="Intense Reference"/>
    <w:basedOn w:val="Absatz-Standardschriftart"/>
    <w:uiPriority w:val="32"/>
    <w:qFormat/>
    <w:rsid w:val="0009026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342</Words>
  <Characters>2176</Characters>
  <Application>Microsoft Office Word</Application>
  <DocSecurity>0</DocSecurity>
  <Lines>60</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Hans-Rudolf Schärer</dc:creator>
  <cp:keywords/>
  <dc:description/>
  <cp:lastModifiedBy>Achermann Hans Beat</cp:lastModifiedBy>
  <cp:revision>2</cp:revision>
  <dcterms:created xsi:type="dcterms:W3CDTF">2026-08-13T10:42:00Z</dcterms:created>
  <dcterms:modified xsi:type="dcterms:W3CDTF">2026-08-13T10:42:00Z</dcterms:modified>
</cp:coreProperties>
</file>